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103CCF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География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2 семестр 202</w:t>
      </w:r>
      <w:r w:rsidR="00AB761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AB761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1B672F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специальностей: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38.02.03 Операционная деятельность в логистике </w:t>
      </w:r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</w:t>
      </w:r>
      <w:r w:rsidR="00A541E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A541E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Юриспруденция</w:t>
      </w:r>
      <w:bookmarkStart w:id="0" w:name="_GoBack"/>
      <w:bookmarkEnd w:id="0"/>
    </w:p>
    <w:p w:rsid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40.02.02 Правоохранительная деятельность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География как наука. Ее роль и значение в системе наук.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Источники географической информации и методы работы с ними.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Традиционные и новые методы географических исследований.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Политическая карта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Исторические этапы ее формирования и современные особенности.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Субъекты политической карты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Суверенные государства и несамоуправляющиеся государственные образования.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 Группировка стран по площади территории и численности населения.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Формы правления, типы государственного устройства и формы государственного режима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Типология стран по уровню социально-экономического развития.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Условия и особенности социально-экономического развития развитых и развивающихся стран, и их типы.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Понятие о политической географии.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Влияние международных отношений на политическую карту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Региональные и локальные конфликты.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Основные политические и военные союзы в современном мире.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Мировые природные ресурсы.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proofErr w:type="spellStart"/>
      <w:r w:rsidRPr="00A56041">
        <w:t>Ресурсообеспеченность</w:t>
      </w:r>
      <w:proofErr w:type="spellEnd"/>
      <w:r w:rsidRPr="00A56041">
        <w:t xml:space="preserve">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Классификация видов природных ресурсов (минеральные, земельные, водные, биологические, агроклиматические и т.д.).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Размещение различных видов природных ресурсов на территории мировой суши.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Ресурсы Мирового океана.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Территориальные сочетания природных ресурсов.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Природно-ресурсный потенциал.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Рациональное использование ресурсов и охрана окружающей среды.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Численность населения мира и ее динамика.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Наиболее населенные регионы и страны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Воспроизводство населения и его типы.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Демографическая политика.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Качество жизни населения.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Индекс человеческого развития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Современная структура населения.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Половозрастная структура населения.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Расовый, этнолингвистический и религиозный состав населения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Социальная структура общества.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Экономически активное и самодеятельное население.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Качество рабочей силы в различных странах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Особенности размещения населения в регионах и странах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Миграции населения, их основные причины и направления.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Урбанизация. Масштабы и темпы урбанизации в различных регионах и странах мира.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lastRenderedPageBreak/>
        <w:t xml:space="preserve"> «Ложная» урбанизация, субурбанизация, урбанизация.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Города-миллионеры, «сверхгорода» и мегалополисы.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Современные особенности развития мирового хозяйства.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Мировая экономика, исторические этапы ее развития.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Международное географическое разделение труда.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Международная специализация и кооперирование.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Научно- технический прогресс и его современные особенности.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Современные особенности развития мирового хозяйства.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Социально-экономические модели стран.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Интернационализация производства и глобализация мировой экономики.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Региональная интеграция.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Основные показатели, характеризующие место и роль стран в мировой экономике.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Топливно-энергетический комплекс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Электроэнергетика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Топливный баланс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Рост производства различных видов топлива.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Газовая, нефтяная, угольная промышленность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Альтернативные источники энергии.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Географические особенности развития мировой электроэнергетики.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Современное развитие чёрной металлургии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Металлургические базы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Географические особенности развития цветной металлургии мира.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Факторы размещения предприятий цветной металлургии.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Отраслевая структура машиностроения.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Развитие отраслей машиностроения в мире.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Главные центры машиностроения.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Транспортный комплекс и его современная структура.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proofErr w:type="spellStart"/>
      <w:r w:rsidRPr="00A56041">
        <w:t>Грузо</w:t>
      </w:r>
      <w:proofErr w:type="spellEnd"/>
      <w:r w:rsidRPr="00A56041">
        <w:t xml:space="preserve">- и пассажирооборот транспорта.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Географические особенности развития различных видов мирового транспорта.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Крупнейшие мировые морские торговые порты и аэропорты.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Химическая промышленность.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Лесная (лесоперерабатывающая) и лёгкая промышленность.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Географические особенности развития химической, лесной и лёгкой промышленности.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Сельское хозяйство и его экономические особенности.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Интенсивное и экстенсивное сельскохозяйственное производство.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«Зеленая революция» и ее основные направления.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Агропромышленный комплекс. 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География мирового растениеводства и животноводства.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>Основные направления международной торговли товарами и услугами.</w:t>
      </w:r>
    </w:p>
    <w:p w:rsidR="00A56041" w:rsidRPr="00A56041" w:rsidRDefault="00A56041" w:rsidP="00A56041">
      <w:pPr>
        <w:pStyle w:val="a3"/>
        <w:numPr>
          <w:ilvl w:val="0"/>
          <w:numId w:val="2"/>
        </w:numPr>
      </w:pPr>
      <w:r w:rsidRPr="00A56041">
        <w:t xml:space="preserve"> Факторы, формирующие международную хозяйственную специализацию стран и регионов мира.</w:t>
      </w:r>
    </w:p>
    <w:p w:rsidR="007551E6" w:rsidRPr="005E06C8" w:rsidRDefault="00A56041" w:rsidP="00A56041">
      <w:pPr>
        <w:pStyle w:val="a3"/>
        <w:numPr>
          <w:ilvl w:val="0"/>
          <w:numId w:val="2"/>
        </w:numPr>
        <w:rPr>
          <w:b/>
        </w:rPr>
      </w:pPr>
      <w:r w:rsidRPr="00A56041">
        <w:t>Дифференциация стран мира по уровню развития медицинских, образовательных, туристских, деловых и информационных услуг.</w:t>
      </w:r>
    </w:p>
    <w:sectPr w:rsidR="007551E6" w:rsidRPr="005E06C8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C788A"/>
    <w:multiLevelType w:val="hybridMultilevel"/>
    <w:tmpl w:val="E4564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9B4"/>
    <w:multiLevelType w:val="hybridMultilevel"/>
    <w:tmpl w:val="0DFE21A2"/>
    <w:lvl w:ilvl="0" w:tplc="873224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C7031C"/>
    <w:multiLevelType w:val="hybridMultilevel"/>
    <w:tmpl w:val="4A5AC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3CCF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6D5E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06C8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1E7"/>
    <w:rsid w:val="00A5490B"/>
    <w:rsid w:val="00A54997"/>
    <w:rsid w:val="00A56041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B7619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F2B82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19</cp:revision>
  <cp:lastPrinted>2014-08-25T06:35:00Z</cp:lastPrinted>
  <dcterms:created xsi:type="dcterms:W3CDTF">2013-10-17T05:42:00Z</dcterms:created>
  <dcterms:modified xsi:type="dcterms:W3CDTF">2024-02-15T09:00:00Z</dcterms:modified>
</cp:coreProperties>
</file>