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C50" w:rsidRDefault="00450C50" w:rsidP="00450C50">
      <w:pPr>
        <w:pStyle w:val="a3"/>
        <w:rPr>
          <w:sz w:val="26"/>
        </w:rPr>
      </w:pPr>
      <w:r w:rsidRPr="003D3610">
        <w:rPr>
          <w:sz w:val="26"/>
        </w:rPr>
        <w:t xml:space="preserve">Вопросы для </w:t>
      </w:r>
      <w:r w:rsidR="00A92B90">
        <w:rPr>
          <w:sz w:val="26"/>
        </w:rPr>
        <w:t>промежуточной</w:t>
      </w:r>
      <w:r>
        <w:rPr>
          <w:sz w:val="26"/>
        </w:rPr>
        <w:t xml:space="preserve"> аттестации</w:t>
      </w:r>
    </w:p>
    <w:p w:rsidR="00450C50" w:rsidRPr="003D3610" w:rsidRDefault="0070060B" w:rsidP="00450C50">
      <w:pPr>
        <w:pStyle w:val="a3"/>
        <w:rPr>
          <w:sz w:val="26"/>
        </w:rPr>
      </w:pPr>
      <w:r>
        <w:rPr>
          <w:sz w:val="26"/>
        </w:rPr>
        <w:t xml:space="preserve">Дисциплина </w:t>
      </w:r>
      <w:r w:rsidR="00A92B90">
        <w:rPr>
          <w:sz w:val="26"/>
        </w:rPr>
        <w:t>МДК 01.01</w:t>
      </w:r>
      <w:r>
        <w:rPr>
          <w:sz w:val="26"/>
        </w:rPr>
        <w:t xml:space="preserve"> Право социального обеспечения</w:t>
      </w:r>
    </w:p>
    <w:p w:rsidR="00450C50" w:rsidRPr="003D3610" w:rsidRDefault="00450C50" w:rsidP="00450C50">
      <w:pPr>
        <w:pStyle w:val="a3"/>
        <w:rPr>
          <w:sz w:val="26"/>
        </w:rPr>
      </w:pPr>
      <w:r w:rsidRPr="003D3610">
        <w:rPr>
          <w:sz w:val="26"/>
        </w:rPr>
        <w:t>(3 курс, 6 семестр)</w:t>
      </w:r>
      <w:r w:rsidR="00B409E0">
        <w:rPr>
          <w:sz w:val="26"/>
        </w:rPr>
        <w:t xml:space="preserve"> </w:t>
      </w:r>
      <w:r w:rsidR="00390C35">
        <w:rPr>
          <w:sz w:val="26"/>
        </w:rPr>
        <w:t xml:space="preserve"> </w:t>
      </w:r>
      <w:bookmarkStart w:id="0" w:name="_GoBack"/>
      <w:bookmarkEnd w:id="0"/>
    </w:p>
    <w:p w:rsidR="00450C50" w:rsidRPr="003D3610" w:rsidRDefault="00450C50" w:rsidP="00450C50">
      <w:pPr>
        <w:pStyle w:val="a3"/>
        <w:rPr>
          <w:sz w:val="26"/>
        </w:rPr>
      </w:pP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 xml:space="preserve">Состав заработка, из которого исчисляется пенсия. </w:t>
      </w:r>
      <w:proofErr w:type="gramStart"/>
      <w:r w:rsidRPr="003D3610">
        <w:rPr>
          <w:b w:val="0"/>
          <w:sz w:val="24"/>
          <w:szCs w:val="24"/>
        </w:rPr>
        <w:t>Виды выплат</w:t>
      </w:r>
      <w:proofErr w:type="gramEnd"/>
      <w:r w:rsidRPr="003D3610">
        <w:rPr>
          <w:b w:val="0"/>
          <w:sz w:val="24"/>
          <w:szCs w:val="24"/>
        </w:rPr>
        <w:t xml:space="preserve"> не учитываемых при исчислении пенсии.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Периоды, за которые определяется среднемесячный заработок для назначения пенсии. порядок подсчета среднемесячного заработка.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Обращение за назначением пенсии.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Обращение за перерасчетом пенсии и переводом с одного вида пенсии на другой.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инвалидности.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старости.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случаю потери кормильца.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пенсий по государственному пенсионному обеспечению.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назначения трудовых пенсий. Понятие для обращения.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перерасчета и перевода трудовых пенсий.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назначения, перерасчета и перевода пенсий по государственному пенсионному обеспечению.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перерасчета базовой части трудовых пенсий.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и периодичность перерасчета страховой части трудовых пенсий.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и периодичность перерасчета накопительной части трудовой пенсии по старости.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перерасчета пенсий по государственному пенсионному обеспечению.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Общие правила и организация выплаты трудовых и государственных пенсий.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по доверенности.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за прошлое время.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недополученной пенсии в связи со смертью пенсионера.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Удержание из пенсий. Основания, размера и порядок удержаний.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Приостановление и возобновление выплаты пенсии.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Прекращение и восстановление выплаты пенсии.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Индексация трудовых пенсий и пенсий по государственному пенсионному обеспечению.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Корректировка страховой части трудовых пенсий.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в случае лишение пенсионера свободы.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за 6 месяцев вперед гражданам, выезжающим (выехавшим) на постоянное жительство за пределы территории Российской Федерации.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перевода пенсии за границу гражданам, выезжающим (выехавшим) на постоянное жительство за пределы территории Российской Федерации.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на территории Российской Федерации гражданам, выезжающим (выехавшим) на постоянное жительство за ее пределы.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гражданам, выехавшим на постоянное жительство в страны СНГ.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лицам, проживающим в стационарных учреждениях социального обслуживания.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Понятие, виды и общая характеристика пособий.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Круг лиц и условия назначения пособия по временной нетрудоспособности.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Продолжительность выплаты пособия по временной нетрудоспособности.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Размер пособия по временной нетрудоспособности.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исчисления пособия по временной нетрудоспособности.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lastRenderedPageBreak/>
        <w:t>Случаи лишения работника пособия по временной нетрудоспособности и снижения его размера.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Круг лиц и условия назначения пособия по беременности и родам.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подсчета пособия по беременности и родам, продолжительность выплаты, сроки обращения за данным пособием.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Единовременное пособие женщинам, вставшим на учет в ранние сроки беременности.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Единовременное пособие при рождении ребенка.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Единовременное пособие при передаче ребенка (детей) на воспитание в другую семью.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Ежемесячное пособие по уходу за ребенком до достижения им возраста 1,5 лет гражданам, подлежащим государственному социальному страхованию.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Ежемесячное пособие по уходу за ребенком до достижения им возраста 1,5 лет гражданам, не подлежащим государственному социальному страхованию.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Ежемесячное пособие на ребенка в возрасте до 16 лет (18 лет). Условия назначения, размеры, сроки назначения.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исчисления среднедушевого дохода, дающего право на ежемесячное пособие на ребенка в возрасте до 16 лет (учащиеся школы – до 18 лет).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Единовременное пособие жене военнослужащего, проходящего военную службу по призыву.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Ежемесячное пособие на ребенка (детей) военнослужащего, проходящего военную службу по призыву.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Социальное пособие на погребение.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Понятие, виды и общая характеристика компенсационных выплат.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Компенсационная выплата трудоспособным лицам, осуществляющим уход за нетрудоспособными гражданами.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Дополнительные меры государственной поддержки семей имеющих детей.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Ежемесячная денежная выплата отдельным категориям граждан.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Ежемесячная денежная выплата Героям Социалистического Труда и полным кавалерам ордена Трудовой Славы.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Ежемесячная денежная выплата Героям Советского Союза, Героям РФ и полным кавалерам ордена Славы и членам их семей.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предоставления набора социальных услуг отдельным категориям граждан.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Дополнительное ежемесячное материальное обеспечение некоторым категориям граждан РФ (ДЕМО).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 и принципы социального обслуживания.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Трудоустройство и профессиональное обучение инвалидов.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Обеспечение инвалидов протезно-ортопедическими изделиями.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Правовое положение Центров социального обслуживания граждан пожилого возраста и инвалидов.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Отделение социальной помощи на дому. Порядок организации отделения, перечень предоставляемых социальных услуг.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Стационарные учреждения социального обслуживания.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Полустационарное социальное обслуживание.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 и виды льгот в праве социального обеспечения.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Понятие, виды и общая характеристика медицинской и медико-социальной помощи.</w:t>
      </w:r>
    </w:p>
    <w:p w:rsidR="00450C50" w:rsidRPr="003D3610" w:rsidRDefault="00450C50" w:rsidP="00450C50">
      <w:pPr>
        <w:pStyle w:val="a3"/>
        <w:numPr>
          <w:ilvl w:val="0"/>
          <w:numId w:val="1"/>
        </w:numPr>
        <w:tabs>
          <w:tab w:val="clear" w:pos="840"/>
          <w:tab w:val="num" w:pos="360"/>
        </w:tabs>
        <w:ind w:left="360" w:hanging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Понятие и субъекты обязательного медицинского страхования.</w:t>
      </w:r>
    </w:p>
    <w:p w:rsidR="00114549" w:rsidRDefault="00A92B90"/>
    <w:sectPr w:rsidR="0011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C148DF"/>
    <w:multiLevelType w:val="hybridMultilevel"/>
    <w:tmpl w:val="83E8CFE0"/>
    <w:lvl w:ilvl="0" w:tplc="F17E32B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FB"/>
    <w:rsid w:val="002B1AFB"/>
    <w:rsid w:val="00390C35"/>
    <w:rsid w:val="00450C50"/>
    <w:rsid w:val="005A0844"/>
    <w:rsid w:val="0070060B"/>
    <w:rsid w:val="00A92B90"/>
    <w:rsid w:val="00B409E0"/>
    <w:rsid w:val="00B9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1487"/>
  <w15:chartTrackingRefBased/>
  <w15:docId w15:val="{109ADA56-BAC8-4665-BF73-007CCAEC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50C50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450C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4404</Characters>
  <Application>Microsoft Office Word</Application>
  <DocSecurity>0</DocSecurity>
  <Lines>36</Lines>
  <Paragraphs>10</Paragraphs>
  <ScaleCrop>false</ScaleCrop>
  <Company>inueco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6</cp:revision>
  <dcterms:created xsi:type="dcterms:W3CDTF">2016-02-24T04:00:00Z</dcterms:created>
  <dcterms:modified xsi:type="dcterms:W3CDTF">2024-02-15T10:28:00Z</dcterms:modified>
</cp:coreProperties>
</file>