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EEE" w:rsidRPr="00CB5B4E" w:rsidRDefault="00F37EEE" w:rsidP="00F37EEE">
      <w:pPr>
        <w:pStyle w:val="1"/>
        <w:pageBreakBefore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CB5B4E">
        <w:rPr>
          <w:b/>
          <w:sz w:val="28"/>
          <w:szCs w:val="28"/>
        </w:rPr>
        <w:t xml:space="preserve">ВОПРОСЫ К </w:t>
      </w:r>
      <w:r>
        <w:rPr>
          <w:b/>
          <w:sz w:val="28"/>
          <w:szCs w:val="28"/>
        </w:rPr>
        <w:t>ПРОМЕЖУТОЧНОЙ</w:t>
      </w:r>
      <w:r w:rsidRPr="00CB5B4E">
        <w:rPr>
          <w:b/>
          <w:sz w:val="28"/>
          <w:szCs w:val="28"/>
        </w:rPr>
        <w:t xml:space="preserve"> АТТЕСТАЦИИ:</w:t>
      </w:r>
      <w:r w:rsidR="00AE0E33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Направления обеспечения безопасности информации.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Организационные и инженерно-технические мероприятия по защите информации.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Средства инженерно-технической защиты информации.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Правовая защита информации. </w:t>
      </w:r>
      <w:r w:rsidR="0014741D">
        <w:t xml:space="preserve">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Структура информационного законодательства Российской Федерации.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 Классификация информации, как объекта правовых отношений.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Информационные процессы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Понятие информационных технологий.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 Роль информационных технологий в трудовом процессе.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Виды классификаций ИТ.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Возможности текстового процессора </w:t>
      </w:r>
      <w:r w:rsidRPr="00CB5B4E">
        <w:rPr>
          <w:lang w:val="en-US"/>
        </w:rPr>
        <w:t>Word</w:t>
      </w:r>
      <w:r w:rsidRPr="00CB5B4E">
        <w:t xml:space="preserve">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Сохранение файлов в других форматах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Определение степени секретности сведений, содержащихся в документе.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Вывод документа на печать.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rPr>
          <w:lang w:val="x-none" w:eastAsia="x-none"/>
        </w:rPr>
        <w:t>Прием и отправка документов. Регистрация документов.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Электронные таблицы: основные понятия и способ организации. </w:t>
      </w:r>
    </w:p>
    <w:p w:rsidR="00F37EEE" w:rsidRPr="00CB5B4E" w:rsidRDefault="00F37EEE" w:rsidP="00F37EEE">
      <w:pPr>
        <w:widowControl w:val="0"/>
        <w:numPr>
          <w:ilvl w:val="0"/>
          <w:numId w:val="2"/>
        </w:numPr>
        <w:tabs>
          <w:tab w:val="num" w:pos="1276"/>
        </w:tabs>
        <w:suppressAutoHyphens w:val="0"/>
        <w:autoSpaceDE w:val="0"/>
        <w:autoSpaceDN w:val="0"/>
        <w:adjustRightInd w:val="0"/>
        <w:spacing w:line="360" w:lineRule="auto"/>
        <w:jc w:val="both"/>
      </w:pPr>
      <w:r w:rsidRPr="00CB5B4E">
        <w:t>Правила оформления указателя рассылки на секретном документе.</w:t>
      </w:r>
    </w:p>
    <w:p w:rsidR="00F37EEE" w:rsidRPr="00CB5B4E" w:rsidRDefault="00F37EEE" w:rsidP="00F37EEE">
      <w:pPr>
        <w:widowControl w:val="0"/>
        <w:numPr>
          <w:ilvl w:val="0"/>
          <w:numId w:val="2"/>
        </w:numPr>
        <w:tabs>
          <w:tab w:val="num" w:pos="1276"/>
        </w:tabs>
        <w:suppressAutoHyphens w:val="0"/>
        <w:autoSpaceDE w:val="0"/>
        <w:autoSpaceDN w:val="0"/>
        <w:adjustRightInd w:val="0"/>
        <w:spacing w:line="360" w:lineRule="auto"/>
        <w:jc w:val="both"/>
      </w:pPr>
      <w:r w:rsidRPr="00CB5B4E">
        <w:t>Правила оформления секретного сопроводительного письма.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Информатизация правоохранительных органов. Задачи и функции информатизации правоохранительных органов.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 Информатизация таможенных органов.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Информатизация налоговых органов.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Информатизация органов министерства внутренних дел.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Основные направления формирования и использования информационных ресурсов. Основные базы данных.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Структура электронных таблиц: ячейка, строка, столбец.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Типы и формат данных: числа, формулы, текст.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Наглядное оформление таблицы.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 Расчеты с использованием формул и стандартных функций.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Построение диаграмм и графиков.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Форматирование готовых диаграмм.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Способы поиска информации в электронной таблице.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  <w:rPr>
          <w:spacing w:val="-2"/>
        </w:rPr>
      </w:pPr>
      <w:r w:rsidRPr="00CB5B4E">
        <w:rPr>
          <w:spacing w:val="-2"/>
        </w:rPr>
        <w:t>Общая характеристика систем автоматизации документооборота, их возможности и ограничения.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  <w:rPr>
          <w:spacing w:val="-2"/>
        </w:rPr>
      </w:pPr>
      <w:r w:rsidRPr="00CB5B4E">
        <w:rPr>
          <w:spacing w:val="-2"/>
        </w:rPr>
        <w:lastRenderedPageBreak/>
        <w:t xml:space="preserve"> Примеры существующих систем автоматизации.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Обзор программного обеспечения распознавания текста.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Место и роль, специализированных автоматизированных информационно-правовых технологий.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Информационно-телекоммуникационные технологии в экспертной деятельности.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Экспертные правовые системы.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Автоматизированные аналитико-статистические информационные системы, системы учета и управления.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Информационные технологии следственной и оперативно-розыскной деятельности.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Справочные правовые системы.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Автоматизированные информационно-поисковые и информационно-справочные системы.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 Роль справочных правовых систем при систематизации законодательства.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 Государственные и негосударственные справочные информационно-правовые системы.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Система Гарант, Система Кодекс, Система Консультант Плюс). Сравнение пользовательского интерфейса.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Понятие базы данных. Задачи, решаемые с помощью баз данных.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База данных, банк данных, система управления базой данных, администратор базы данных.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  <w:rPr>
          <w:bCs/>
          <w:iCs/>
          <w:color w:val="000000"/>
        </w:rPr>
      </w:pPr>
      <w:r w:rsidRPr="00CB5B4E">
        <w:rPr>
          <w:bCs/>
          <w:iCs/>
          <w:color w:val="000000"/>
        </w:rPr>
        <w:t xml:space="preserve">Система организации информации  в Интернет.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Автоматизированные и информационные системы управления.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Системы автоматизированного проектирования и автоматизированные системы научных исследований.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Информатизация законодательных органов субъектов федерации.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Информатизация органов местного самоуправления.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Геоинформационные системы.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Назначение и структура экспертных систем.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Целесообразность использования, этапы создания экспертных систем.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 xml:space="preserve">Экономические аспекты применения информационных технологий </w:t>
      </w:r>
    </w:p>
    <w:p w:rsidR="00F37EEE" w:rsidRPr="00CB5B4E" w:rsidRDefault="00F37EEE" w:rsidP="00F37EEE">
      <w:pPr>
        <w:numPr>
          <w:ilvl w:val="0"/>
          <w:numId w:val="2"/>
        </w:numPr>
        <w:spacing w:line="360" w:lineRule="auto"/>
        <w:jc w:val="both"/>
      </w:pPr>
      <w:r w:rsidRPr="00CB5B4E">
        <w:t>Прототипы и жизненный цикл экспертных систем.</w:t>
      </w:r>
    </w:p>
    <w:p w:rsidR="00F37EEE" w:rsidRPr="00CB5B4E" w:rsidRDefault="00F37EEE" w:rsidP="00F37EEE">
      <w:pPr>
        <w:widowControl w:val="0"/>
        <w:numPr>
          <w:ilvl w:val="0"/>
          <w:numId w:val="2"/>
        </w:numPr>
        <w:tabs>
          <w:tab w:val="num" w:pos="1260"/>
        </w:tabs>
        <w:suppressAutoHyphens w:val="0"/>
        <w:autoSpaceDE w:val="0"/>
        <w:autoSpaceDN w:val="0"/>
        <w:adjustRightInd w:val="0"/>
        <w:spacing w:line="360" w:lineRule="auto"/>
        <w:jc w:val="both"/>
      </w:pPr>
      <w:r w:rsidRPr="00CB5B4E">
        <w:t>Порядок печатания секретных документов.</w:t>
      </w:r>
    </w:p>
    <w:p w:rsidR="00F37EEE" w:rsidRPr="00CB5B4E" w:rsidRDefault="00F37EEE" w:rsidP="00F37EEE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CB5B4E">
        <w:t xml:space="preserve">Информационные системы делопроизводства в органах прокуратуры. </w:t>
      </w:r>
    </w:p>
    <w:p w:rsidR="00F37EEE" w:rsidRPr="00CB5B4E" w:rsidRDefault="00F37EEE" w:rsidP="00F37EEE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CB5B4E">
        <w:t xml:space="preserve">Информационные системы обеспечения прокурорского надзора и расследования преступлений.  </w:t>
      </w:r>
    </w:p>
    <w:p w:rsidR="00F37EEE" w:rsidRPr="00CB5B4E" w:rsidRDefault="00F37EEE" w:rsidP="00F37EEE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CB5B4E">
        <w:lastRenderedPageBreak/>
        <w:t xml:space="preserve">Задачи информатизации судебных органов. </w:t>
      </w:r>
    </w:p>
    <w:p w:rsidR="00F37EEE" w:rsidRPr="00CB5B4E" w:rsidRDefault="00F37EEE" w:rsidP="00F37EEE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</w:pPr>
      <w:r w:rsidRPr="00CB5B4E">
        <w:t>ГАС «Правосудие».</w:t>
      </w:r>
    </w:p>
    <w:p w:rsidR="00D363DA" w:rsidRDefault="00D363DA"/>
    <w:sectPr w:rsidR="00D363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7D" w:rsidRDefault="001D0AAC">
      <w:r>
        <w:separator/>
      </w:r>
    </w:p>
  </w:endnote>
  <w:endnote w:type="continuationSeparator" w:id="0">
    <w:p w:rsidR="00BB797D" w:rsidRDefault="001D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195" w:rsidRDefault="00AE0E3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195" w:rsidRDefault="00F37EE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6867525</wp:posOffset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2195" w:rsidRDefault="00F37EEE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AE0E33"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40.75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" stroked="f">
              <v:fill opacity="0"/>
              <v:textbox inset="0,0,0,0">
                <w:txbxContent>
                  <w:p w:rsidR="00852195" w:rsidRDefault="00F37EEE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AE0E33">
                      <w:rPr>
                        <w:rStyle w:val="a3"/>
                        <w:noProof/>
                      </w:rPr>
                      <w:t>1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195" w:rsidRDefault="00AE0E3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7D" w:rsidRDefault="001D0AAC">
      <w:r>
        <w:separator/>
      </w:r>
    </w:p>
  </w:footnote>
  <w:footnote w:type="continuationSeparator" w:id="0">
    <w:p w:rsidR="00BB797D" w:rsidRDefault="001D0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195" w:rsidRDefault="00AE0E3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195" w:rsidRDefault="00AE0E33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195" w:rsidRDefault="00AE0E3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0E"/>
    <w:rsid w:val="0014741D"/>
    <w:rsid w:val="001D0AAC"/>
    <w:rsid w:val="002D500E"/>
    <w:rsid w:val="00AE0E33"/>
    <w:rsid w:val="00BB797D"/>
    <w:rsid w:val="00D363DA"/>
    <w:rsid w:val="00F3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2A95DF"/>
  <w15:chartTrackingRefBased/>
  <w15:docId w15:val="{C7F01768-EDD9-48DA-B3B7-1037E00B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E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7EEE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EE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F37EEE"/>
  </w:style>
  <w:style w:type="paragraph" w:styleId="a4">
    <w:name w:val="footer"/>
    <w:basedOn w:val="a"/>
    <w:link w:val="a5"/>
    <w:rsid w:val="00F37E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37EE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 Курегова</dc:creator>
  <cp:keywords/>
  <dc:description/>
  <cp:lastModifiedBy>Екатерина Михайловна Ершова</cp:lastModifiedBy>
  <cp:revision>4</cp:revision>
  <dcterms:created xsi:type="dcterms:W3CDTF">2019-06-03T10:48:00Z</dcterms:created>
  <dcterms:modified xsi:type="dcterms:W3CDTF">2021-05-05T10:59:00Z</dcterms:modified>
</cp:coreProperties>
</file>