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23B" w:rsidRPr="00CF2A23" w:rsidRDefault="0061423B" w:rsidP="0061423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зачету</w:t>
      </w:r>
    </w:p>
    <w:p w:rsidR="0061423B" w:rsidRPr="00CF2A23" w:rsidRDefault="0061423B" w:rsidP="0061423B">
      <w:pPr>
        <w:spacing w:line="360" w:lineRule="auto"/>
        <w:jc w:val="center"/>
        <w:rPr>
          <w:b/>
          <w:u w:val="single"/>
        </w:rPr>
      </w:pPr>
      <w:r w:rsidRPr="00CF2A23">
        <w:rPr>
          <w:b/>
        </w:rPr>
        <w:t xml:space="preserve">по дисциплине </w:t>
      </w:r>
      <w:r>
        <w:rPr>
          <w:b/>
          <w:u w:val="single"/>
        </w:rPr>
        <w:t>Гражданский процесс</w:t>
      </w:r>
    </w:p>
    <w:p w:rsidR="0061423B" w:rsidRDefault="0061423B" w:rsidP="0061423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b/>
        </w:rPr>
        <w:t xml:space="preserve">на 6 семестр </w:t>
      </w:r>
      <w:r w:rsidRPr="00CF2A23">
        <w:rPr>
          <w:b/>
        </w:rPr>
        <w:t>20</w:t>
      </w:r>
      <w:r w:rsidR="00942FBF">
        <w:rPr>
          <w:b/>
        </w:rPr>
        <w:t>2</w:t>
      </w:r>
      <w:r w:rsidR="00FC6A4A">
        <w:rPr>
          <w:b/>
        </w:rPr>
        <w:t>4</w:t>
      </w:r>
      <w:r w:rsidRPr="00CF2A23">
        <w:rPr>
          <w:b/>
        </w:rPr>
        <w:t>/20</w:t>
      </w:r>
      <w:r w:rsidR="00C96E09">
        <w:rPr>
          <w:b/>
        </w:rPr>
        <w:t>2</w:t>
      </w:r>
      <w:r w:rsidR="00FC6A4A">
        <w:rPr>
          <w:b/>
        </w:rPr>
        <w:t>5</w:t>
      </w:r>
      <w:bookmarkStart w:id="0" w:name="_GoBack"/>
      <w:bookmarkEnd w:id="0"/>
      <w:r w:rsidRPr="00CF2A23">
        <w:rPr>
          <w:b/>
        </w:rPr>
        <w:t xml:space="preserve"> учебн</w:t>
      </w:r>
      <w:r>
        <w:rPr>
          <w:b/>
        </w:rPr>
        <w:t>ый</w:t>
      </w:r>
      <w:r w:rsidRPr="00CF2A23">
        <w:rPr>
          <w:b/>
        </w:rPr>
        <w:t xml:space="preserve"> год</w:t>
      </w:r>
    </w:p>
    <w:p w:rsidR="0061423B" w:rsidRPr="00C9674B" w:rsidRDefault="0061423B" w:rsidP="0061423B">
      <w:pPr>
        <w:spacing w:after="120"/>
        <w:ind w:left="10"/>
      </w:pP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Понятие и сущность гражданского процесса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Предмет гражданского процессуального права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Метод гражданского процессуального права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Система гражданского процессуального права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Взаимосвязь гражданского процессуального права с другими отраслями права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Виды гражданского судопроизводства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Стадии гражданского процесса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Понятие и виды источников гражданского процессуального права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Действие источников гражданского процессуального права во времени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Действие источников гражданского процессуального права в пространстве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Действие источников гражданского процессуального права по кругу лиц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Понятие и значение принципов гражданского процессуального права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Конституционные принципы гражданского процессуального права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Отраслевые принципы гражданского процессуального права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Понятие и признаки гражданских процессуальных правоотношении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proofErr w:type="gramStart"/>
      <w:r>
        <w:t>Субъекты  гражданских</w:t>
      </w:r>
      <w:proofErr w:type="gramEnd"/>
      <w:r>
        <w:t xml:space="preserve"> процессуальных правоотношении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Объект гражданских процессуальных правоотношении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Основания возникновения гражданских процессуальных правоотношении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Понятие и признаки подведомственности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Виды подведомственности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Правила определения подведомственности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Понятие и виды подсудности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Понятие сторон в гражданском процессе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Гражданские процессуальные права и обязанности сторон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Процессуальное соучастие (понятие и виды)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Надлежащие и ненадлежащие стороны в гражданском процессе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Процессуальное правопреемство (понятие и основания)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Понятие и виды третьих лиц в гражданском процессе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Участие прокурора в гражданском процессе</w:t>
      </w:r>
    </w:p>
    <w:p w:rsidR="0061423B" w:rsidRDefault="0061423B" w:rsidP="0061423B">
      <w:pPr>
        <w:pStyle w:val="a3"/>
        <w:numPr>
          <w:ilvl w:val="0"/>
          <w:numId w:val="1"/>
        </w:numPr>
        <w:autoSpaceDN w:val="0"/>
        <w:spacing w:after="0"/>
        <w:jc w:val="both"/>
      </w:pPr>
      <w:r>
        <w:t xml:space="preserve">Участие в гражданском процессе государственных органов, органов местного  </w:t>
      </w:r>
    </w:p>
    <w:p w:rsidR="0061423B" w:rsidRDefault="0061423B" w:rsidP="0061423B">
      <w:pPr>
        <w:pStyle w:val="a3"/>
        <w:spacing w:after="0"/>
        <w:ind w:left="0"/>
        <w:jc w:val="both"/>
      </w:pPr>
      <w:r>
        <w:t xml:space="preserve">           самоуправления, организации и </w:t>
      </w:r>
      <w:proofErr w:type="gramStart"/>
      <w:r>
        <w:t>граждан</w:t>
      </w:r>
      <w:proofErr w:type="gramEnd"/>
      <w:r>
        <w:t xml:space="preserve"> защищающих права, свободы и </w:t>
      </w:r>
    </w:p>
    <w:p w:rsidR="0061423B" w:rsidRDefault="0061423B" w:rsidP="0061423B">
      <w:pPr>
        <w:pStyle w:val="a3"/>
        <w:spacing w:after="0"/>
        <w:ind w:left="0"/>
        <w:jc w:val="both"/>
      </w:pPr>
      <w:r>
        <w:t xml:space="preserve">            охраняемые законом интересы других лиц </w:t>
      </w:r>
    </w:p>
    <w:p w:rsidR="0061423B" w:rsidRDefault="0061423B" w:rsidP="0061423B">
      <w:pPr>
        <w:pStyle w:val="a3"/>
        <w:numPr>
          <w:ilvl w:val="0"/>
          <w:numId w:val="1"/>
        </w:numPr>
        <w:autoSpaceDN w:val="0"/>
        <w:spacing w:after="0"/>
        <w:jc w:val="both"/>
      </w:pPr>
      <w:r>
        <w:t xml:space="preserve">Понятие, виды и </w:t>
      </w:r>
      <w:proofErr w:type="gramStart"/>
      <w:r>
        <w:t>основания  представительства</w:t>
      </w:r>
      <w:proofErr w:type="gramEnd"/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Понятие и виды процессуальных сроков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Течение процессуальных сроков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Понятие и виды судебных расходов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Судебные штрафы (понятие и цели взыскания)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Понятие иска и его сущность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Элементы иска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Виды исков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Право на иск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Защита интересов ответчика. Встречный иск.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Распоряжение исковыми средствами защиты прав и интересов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Предмет доказывания. Факты не требующие доказывания.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Понятие и виды судебных доказательств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Судебное доказывание (понятие и содержание)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Виды средств доказывания 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lastRenderedPageBreak/>
        <w:t>Обеспечение доказательств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Сущность и значение стадии возбуждения гражданского дела в суде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Предъявление иска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Содержание искового заявления 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Принятие искового заявления. Основания к отказу в принятии заявления 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Понятие, цель, задачи и значение стадии подготовки гражданских дел к судебному </w:t>
      </w:r>
    </w:p>
    <w:p w:rsidR="0061423B" w:rsidRDefault="0061423B" w:rsidP="0061423B">
      <w:pPr>
        <w:autoSpaceDN w:val="0"/>
        <w:jc w:val="both"/>
      </w:pPr>
      <w:r>
        <w:t xml:space="preserve">            разбирательству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Содержание и порядок подготовки гражданских дел к судебному разбирательству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Назначение дела </w:t>
      </w:r>
      <w:proofErr w:type="gramStart"/>
      <w:r>
        <w:t>к  судебному</w:t>
      </w:r>
      <w:proofErr w:type="gramEnd"/>
      <w:r>
        <w:t xml:space="preserve"> разбирательству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Предварительное судебное заседание по делу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Понятие и значение стадии судебного разбирательства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Порядок разбирательства дела в суде первой инстанции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Составные части судебного заседания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Протокол судебного заседания 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Отложение и приостановление разбирательства по делу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Окончание производства по делу без вынесения решения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Понятие и виды судебных постановлении 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Понятие и сущность приказного производства и судебного приказа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Возбуждение дела о выдаче судебного приказа 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Порядок приказного производства 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Условия </w:t>
      </w:r>
      <w:proofErr w:type="gramStart"/>
      <w:r>
        <w:t>и  порядок</w:t>
      </w:r>
      <w:proofErr w:type="gramEnd"/>
      <w:r>
        <w:t xml:space="preserve"> заочного производства. Содержание заочного решения и </w:t>
      </w:r>
    </w:p>
    <w:p w:rsidR="0061423B" w:rsidRDefault="0061423B" w:rsidP="0061423B">
      <w:pPr>
        <w:autoSpaceDN w:val="0"/>
        <w:jc w:val="both"/>
      </w:pPr>
      <w:r>
        <w:t xml:space="preserve">            порядок его обжалования   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 Сущность производства по делам, возникающим из публичных правоотношении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Производство по пересмотру постановлений и решении по делам об </w:t>
      </w:r>
    </w:p>
    <w:p w:rsidR="0061423B" w:rsidRDefault="0061423B" w:rsidP="0061423B">
      <w:pPr>
        <w:autoSpaceDN w:val="0"/>
        <w:jc w:val="both"/>
      </w:pPr>
      <w:r>
        <w:t xml:space="preserve">            административных правонарушениях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Понятие и сущность особого производства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proofErr w:type="gramStart"/>
      <w:r>
        <w:t>Установление фактов</w:t>
      </w:r>
      <w:proofErr w:type="gramEnd"/>
      <w:r>
        <w:t xml:space="preserve"> имеющих юридическое значение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Усыновление (удочерение) ребенка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Признание гражданина безвестно отсутствующим и объявление гражданина </w:t>
      </w:r>
    </w:p>
    <w:p w:rsidR="0061423B" w:rsidRDefault="0061423B" w:rsidP="0061423B">
      <w:pPr>
        <w:autoSpaceDN w:val="0"/>
        <w:jc w:val="both"/>
      </w:pPr>
      <w:r>
        <w:t xml:space="preserve">            умершим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Ограничение дееспособности гражданина, признание гражданина недееспособным, </w:t>
      </w:r>
    </w:p>
    <w:p w:rsidR="0061423B" w:rsidRDefault="0061423B" w:rsidP="0061423B">
      <w:pPr>
        <w:autoSpaceDN w:val="0"/>
        <w:jc w:val="both"/>
      </w:pPr>
      <w:r>
        <w:t xml:space="preserve">            ограничение или лишение несовершеннолетнего в возрасте от 14 до 18 лет права </w:t>
      </w:r>
    </w:p>
    <w:p w:rsidR="0061423B" w:rsidRDefault="0061423B" w:rsidP="0061423B">
      <w:pPr>
        <w:autoSpaceDN w:val="0"/>
        <w:jc w:val="both"/>
      </w:pPr>
      <w:r>
        <w:t xml:space="preserve">            самостоятельно распоряжаться своими доходами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Объявление несовершеннолетнего полностью дееспособным (эмансипация)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Признание движимой вещи бесхозяйной и признание права муниципальной </w:t>
      </w:r>
    </w:p>
    <w:p w:rsidR="0061423B" w:rsidRDefault="0061423B" w:rsidP="0061423B">
      <w:pPr>
        <w:autoSpaceDN w:val="0"/>
        <w:jc w:val="both"/>
      </w:pPr>
      <w:r>
        <w:t xml:space="preserve">            собственности на бесхозяйную движимую вещь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Восстановление прав по утраченным ценным бумагам на предъявителя или </w:t>
      </w:r>
    </w:p>
    <w:p w:rsidR="0061423B" w:rsidRDefault="0061423B" w:rsidP="0061423B">
      <w:pPr>
        <w:autoSpaceDN w:val="0"/>
        <w:jc w:val="both"/>
      </w:pPr>
      <w:r>
        <w:t xml:space="preserve">            ордерным ценным бумагам (вызывное производство)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Рассмотрение дел о внесении исправлении или изменении в записи актов </w:t>
      </w:r>
    </w:p>
    <w:p w:rsidR="0061423B" w:rsidRDefault="0061423B" w:rsidP="0061423B">
      <w:pPr>
        <w:autoSpaceDN w:val="0"/>
        <w:jc w:val="both"/>
      </w:pPr>
      <w:r>
        <w:t xml:space="preserve">            гражданского состояния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Рассмотрение заявлении о совершенных нотариальных действиях или об отказе в </w:t>
      </w:r>
    </w:p>
    <w:p w:rsidR="0061423B" w:rsidRDefault="0061423B" w:rsidP="0061423B">
      <w:pPr>
        <w:autoSpaceDN w:val="0"/>
        <w:jc w:val="both"/>
      </w:pPr>
      <w:r>
        <w:t xml:space="preserve">            их совершении 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Восстановление утраченного судебного производства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Обжалование решении и определении мировых судей в апелляционном порядке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Обжалование и проверка судебных решении и определении, не вступивших в </w:t>
      </w:r>
    </w:p>
    <w:p w:rsidR="0061423B" w:rsidRDefault="0061423B" w:rsidP="0061423B">
      <w:pPr>
        <w:autoSpaceDN w:val="0"/>
        <w:jc w:val="both"/>
      </w:pPr>
      <w:r>
        <w:t xml:space="preserve">            законную силу, в кассационном порядке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Пересмотр вступивших в законную силу решении в порядке надзора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 xml:space="preserve">Пересмотр по вновь открывшимся </w:t>
      </w:r>
      <w:proofErr w:type="gramStart"/>
      <w:r>
        <w:t>обстоятельствам  решении</w:t>
      </w:r>
      <w:proofErr w:type="gramEnd"/>
      <w:r>
        <w:t xml:space="preserve"> и определении, </w:t>
      </w:r>
    </w:p>
    <w:p w:rsidR="0061423B" w:rsidRDefault="0061423B" w:rsidP="0061423B">
      <w:pPr>
        <w:autoSpaceDN w:val="0"/>
        <w:jc w:val="both"/>
      </w:pPr>
      <w:r>
        <w:t xml:space="preserve">            вступивших в законную силу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Сущность исполнительного производства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Общие правила исполнительного производства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t>Производство по делам с участием иностранных лиц</w:t>
      </w:r>
    </w:p>
    <w:p w:rsidR="0061423B" w:rsidRDefault="0061423B" w:rsidP="0061423B">
      <w:pPr>
        <w:numPr>
          <w:ilvl w:val="0"/>
          <w:numId w:val="1"/>
        </w:numPr>
        <w:autoSpaceDN w:val="0"/>
        <w:jc w:val="both"/>
      </w:pPr>
      <w:r>
        <w:lastRenderedPageBreak/>
        <w:t>Производство по делам об оспаривании решений третейских судов</w:t>
      </w:r>
    </w:p>
    <w:p w:rsidR="00114549" w:rsidRDefault="00FC6A4A"/>
    <w:sectPr w:rsidR="00114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C0614"/>
    <w:multiLevelType w:val="hybridMultilevel"/>
    <w:tmpl w:val="F926AF46"/>
    <w:lvl w:ilvl="0" w:tplc="B394C08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257"/>
    <w:rsid w:val="003E5394"/>
    <w:rsid w:val="004D3D76"/>
    <w:rsid w:val="005A0844"/>
    <w:rsid w:val="0061423B"/>
    <w:rsid w:val="007E0257"/>
    <w:rsid w:val="008F35B8"/>
    <w:rsid w:val="00942FBF"/>
    <w:rsid w:val="00972B8F"/>
    <w:rsid w:val="00B92E48"/>
    <w:rsid w:val="00C96E09"/>
    <w:rsid w:val="00D1611B"/>
    <w:rsid w:val="00F900DD"/>
    <w:rsid w:val="00FC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5D8AB"/>
  <w15:chartTrackingRefBased/>
  <w15:docId w15:val="{83B7AA20-02AE-44AF-976A-9D5B22A6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4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61423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142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Викторовна Широкова</dc:creator>
  <cp:keywords/>
  <dc:description/>
  <cp:lastModifiedBy>Елена Геннадьевна Суркова</cp:lastModifiedBy>
  <cp:revision>11</cp:revision>
  <dcterms:created xsi:type="dcterms:W3CDTF">2016-02-24T03:58:00Z</dcterms:created>
  <dcterms:modified xsi:type="dcterms:W3CDTF">2024-02-15T10:27:00Z</dcterms:modified>
</cp:coreProperties>
</file>